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B0" w:rsidRDefault="00D01BB0" w:rsidP="00D01BB0">
      <w:pPr>
        <w:spacing w:line="680" w:lineRule="exact"/>
        <w:jc w:val="center"/>
        <w:rPr>
          <w:rFonts w:ascii="BatangChe" w:eastAsia="方正小标宋简体" w:hAnsi="BatangChe" w:cs="方正小标宋简体" w:hint="eastAsia"/>
          <w:sz w:val="44"/>
          <w:szCs w:val="44"/>
        </w:rPr>
      </w:pPr>
      <w:r>
        <w:rPr>
          <w:rFonts w:ascii="BatangChe" w:eastAsia="方正小标宋简体" w:hAnsi="BatangChe" w:cs="方正小标宋简体" w:hint="eastAsia"/>
          <w:sz w:val="44"/>
          <w:szCs w:val="44"/>
        </w:rPr>
        <w:t>杨凌示范区门诊特殊慢性病</w:t>
      </w:r>
    </w:p>
    <w:p w:rsidR="00D01BB0" w:rsidRDefault="00D01BB0" w:rsidP="00D01BB0">
      <w:pPr>
        <w:spacing w:line="680" w:lineRule="exact"/>
        <w:jc w:val="center"/>
        <w:rPr>
          <w:rFonts w:ascii="BatangChe" w:eastAsia="方正小标宋简体" w:hAnsi="BatangChe" w:cs="方正小标宋简体" w:hint="eastAsia"/>
          <w:sz w:val="44"/>
          <w:szCs w:val="44"/>
        </w:rPr>
      </w:pPr>
      <w:r>
        <w:rPr>
          <w:rFonts w:ascii="BatangChe" w:eastAsia="方正小标宋简体" w:hAnsi="BatangChe" w:cs="方正小标宋简体" w:hint="eastAsia"/>
          <w:sz w:val="44"/>
          <w:szCs w:val="44"/>
        </w:rPr>
        <w:t>病种范围及报销标准</w:t>
      </w:r>
    </w:p>
    <w:p w:rsidR="00D01BB0" w:rsidRDefault="00D01BB0" w:rsidP="00D01BB0">
      <w:pPr>
        <w:spacing w:line="240" w:lineRule="exact"/>
        <w:jc w:val="center"/>
        <w:rPr>
          <w:rFonts w:ascii="BatangChe" w:eastAsia="方正小标宋简体" w:hAnsi="BatangChe" w:cs="方正小标宋简体" w:hint="eastAsia"/>
          <w:sz w:val="44"/>
          <w:szCs w:val="44"/>
        </w:rPr>
      </w:pPr>
    </w:p>
    <w:tbl>
      <w:tblPr>
        <w:tblW w:w="8859" w:type="dxa"/>
        <w:jc w:val="center"/>
        <w:tblLook w:val="0000" w:firstRow="0" w:lastRow="0" w:firstColumn="0" w:lastColumn="0" w:noHBand="0" w:noVBand="0"/>
      </w:tblPr>
      <w:tblGrid>
        <w:gridCol w:w="813"/>
        <w:gridCol w:w="3206"/>
        <w:gridCol w:w="1494"/>
        <w:gridCol w:w="1429"/>
        <w:gridCol w:w="1917"/>
      </w:tblGrid>
      <w:tr w:rsidR="00D01BB0" w:rsidTr="00EF5B65">
        <w:trPr>
          <w:trHeight w:val="563"/>
          <w:jc w:val="center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40" w:lineRule="exact"/>
              <w:jc w:val="center"/>
              <w:textAlignment w:val="center"/>
              <w:rPr>
                <w:rFonts w:ascii="BatangChe" w:eastAsia="黑体" w:hAnsi="BatangChe" w:cs="黑体"/>
                <w:color w:val="000000"/>
                <w:sz w:val="28"/>
                <w:szCs w:val="28"/>
              </w:rPr>
            </w:pPr>
            <w:r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4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sz w:val="28"/>
                <w:szCs w:val="28"/>
              </w:rPr>
            </w:pPr>
            <w:r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  <w:t>病种名称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sz w:val="28"/>
                <w:szCs w:val="28"/>
              </w:rPr>
            </w:pPr>
            <w:r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  <w:t>报销限额（元</w:t>
            </w:r>
            <w:r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  <w:t>年）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4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sz w:val="28"/>
                <w:szCs w:val="28"/>
              </w:rPr>
            </w:pPr>
            <w:r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01BB0" w:rsidTr="00EF5B65">
        <w:trPr>
          <w:trHeight w:val="507"/>
          <w:jc w:val="center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40" w:lineRule="exact"/>
              <w:jc w:val="center"/>
              <w:rPr>
                <w:rFonts w:ascii="BatangChe" w:eastAsia="黑体" w:hAnsi="BatangChe" w:cs="黑体" w:hint="eastAsia"/>
                <w:color w:val="000000"/>
                <w:sz w:val="24"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40" w:lineRule="exact"/>
              <w:jc w:val="center"/>
              <w:rPr>
                <w:rFonts w:ascii="BatangChe" w:eastAsia="黑体" w:hAnsi="BatangChe" w:cs="黑体" w:hint="eastAsia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sz w:val="28"/>
                <w:szCs w:val="28"/>
              </w:rPr>
            </w:pPr>
            <w:r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  <w:t>城镇职工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sz w:val="28"/>
                <w:szCs w:val="28"/>
              </w:rPr>
            </w:pPr>
            <w:r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  <w:t>城乡居民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40" w:lineRule="exact"/>
              <w:jc w:val="center"/>
              <w:rPr>
                <w:rFonts w:ascii="BatangChe" w:eastAsia="黑体" w:hAnsi="BatangChe" w:cs="黑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50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白血病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eastAsia="黑体" w:hAnsi="BatangChe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textAlignment w:val="center"/>
              <w:rPr>
                <w:rFonts w:ascii="BatangChe" w:eastAsia="黑体" w:hAnsi="BatangChe" w:cs="黑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77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6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慢性肾功能衰竭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Cs w:val="21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执行城镇职工</w:t>
            </w:r>
            <w:proofErr w:type="gramStart"/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保住院年度支付最高限额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textAlignment w:val="center"/>
              <w:rPr>
                <w:rFonts w:ascii="BatangChe" w:hAnsi="BatangChe" w:cs="宋体" w:hint="eastAsia"/>
                <w:color w:val="000000"/>
                <w:szCs w:val="21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腹膜透析、血液透析、对症支持治疗。</w:t>
            </w:r>
          </w:p>
        </w:tc>
      </w:tr>
      <w:tr w:rsidR="00D01BB0" w:rsidTr="00EF5B65">
        <w:trPr>
          <w:trHeight w:val="299"/>
          <w:jc w:val="center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3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苯丙酮尿症（</w:t>
            </w: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PKU</w:t>
            </w: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）门诊检查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10500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0-3</w:t>
            </w: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周岁</w:t>
            </w:r>
          </w:p>
        </w:tc>
      </w:tr>
      <w:tr w:rsidR="00D01BB0" w:rsidTr="00EF5B65">
        <w:trPr>
          <w:trHeight w:val="291"/>
          <w:jc w:val="center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11900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4-14</w:t>
            </w: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周岁</w:t>
            </w:r>
          </w:p>
        </w:tc>
      </w:tr>
      <w:tr w:rsidR="00D01BB0" w:rsidTr="00EF5B65">
        <w:trPr>
          <w:trHeight w:val="95"/>
          <w:jc w:val="center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14000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15-18</w:t>
            </w: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周岁</w:t>
            </w:r>
          </w:p>
        </w:tc>
      </w:tr>
      <w:tr w:rsidR="00D01BB0" w:rsidTr="00EF5B65">
        <w:trPr>
          <w:trHeight w:val="772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恶性肿瘤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Cs w:val="21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执行城镇职工</w:t>
            </w:r>
            <w:proofErr w:type="gramStart"/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保住院年度支付最高限额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kern w:val="0"/>
                <w:sz w:val="24"/>
                <w:lang w:bidi="ar"/>
              </w:rPr>
              <w:t>5000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textAlignment w:val="center"/>
              <w:rPr>
                <w:rFonts w:ascii="BatangChe" w:hAnsi="BatangChe" w:cs="宋体" w:hint="eastAsia"/>
                <w:color w:val="000000"/>
                <w:szCs w:val="21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门诊放疗、化疗、中医及对症治疗。</w:t>
            </w:r>
          </w:p>
        </w:tc>
      </w:tr>
      <w:tr w:rsidR="00D01BB0" w:rsidTr="00EF5B65">
        <w:trPr>
          <w:trHeight w:val="155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60" w:lineRule="exact"/>
              <w:jc w:val="center"/>
              <w:textAlignment w:val="center"/>
              <w:rPr>
                <w:rFonts w:ascii="BatangChe" w:hAnsi="BatangChe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36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生长激素缺乏症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6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6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限</w:t>
            </w: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岁以下学生儿童，原发性生长激素缺乏症和获得性生长激素缺乏症（不含暂时性生长激素缺乏症）门诊使用生长激素。</w:t>
            </w: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血友病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慢性再生障碍性贫血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慢性肾小球肾炎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肾病综合症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51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器官移植术后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器官移植术后服用抗排斥药。</w:t>
            </w: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肝硬化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失代偿期</w:t>
            </w: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多耐</w:t>
            </w:r>
            <w:r>
              <w:rPr>
                <w:rFonts w:ascii="BatangChe" w:hAnsi="BatangChe" w:cs="宋体" w:hint="eastAsia"/>
                <w:kern w:val="0"/>
                <w:sz w:val="24"/>
                <w:lang w:bidi="ar"/>
              </w:rPr>
              <w:t>药</w:t>
            </w: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性肺结核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13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系统性红斑狼疮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肺纤维化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心肌梗塞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548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16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肝豆状核变性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0"/>
                <w:szCs w:val="20"/>
              </w:rPr>
            </w:pPr>
          </w:p>
        </w:tc>
      </w:tr>
      <w:tr w:rsidR="00D01BB0" w:rsidTr="00EF5B65">
        <w:trPr>
          <w:trHeight w:val="548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17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脑梗塞后遗症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548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脑出血后遗症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548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癫痫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0"/>
                <w:szCs w:val="20"/>
              </w:rPr>
            </w:pPr>
          </w:p>
        </w:tc>
      </w:tr>
      <w:tr w:rsidR="00D01BB0" w:rsidTr="00EF5B65">
        <w:trPr>
          <w:trHeight w:val="548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慢性克山病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1650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0"/>
                <w:szCs w:val="20"/>
              </w:rPr>
            </w:pPr>
          </w:p>
        </w:tc>
      </w:tr>
      <w:tr w:rsidR="00D01BB0" w:rsidTr="00EF5B65">
        <w:trPr>
          <w:trHeight w:val="506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rPr>
                <w:rFonts w:ascii="BatangChe" w:hAnsi="BatangChe" w:cs="宋体"/>
                <w:sz w:val="24"/>
              </w:rPr>
            </w:pPr>
            <w:r>
              <w:rPr>
                <w:rFonts w:ascii="BatangChe" w:hAnsi="BatangChe" w:cs="宋体" w:hint="eastAsia"/>
                <w:sz w:val="24"/>
              </w:rPr>
              <w:t>21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kern w:val="0"/>
                <w:sz w:val="24"/>
                <w:lang w:bidi="ar"/>
              </w:rPr>
              <w:t>小儿脑性瘫痪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kern w:val="0"/>
                <w:sz w:val="24"/>
                <w:lang w:bidi="ar"/>
              </w:rPr>
              <w:t>——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40" w:lineRule="exact"/>
              <w:jc w:val="center"/>
              <w:textAlignment w:val="center"/>
              <w:rPr>
                <w:rFonts w:ascii="BatangChe" w:hAnsi="BatangChe" w:cs="宋体" w:hint="eastAsia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kern w:val="0"/>
                <w:sz w:val="24"/>
                <w:lang w:bidi="ar"/>
              </w:rPr>
              <w:t>1500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textAlignment w:val="center"/>
              <w:rPr>
                <w:rFonts w:ascii="BatangChe" w:hAnsi="BatangChe" w:cs="宋体" w:hint="eastAsia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kern w:val="0"/>
                <w:szCs w:val="21"/>
                <w:lang w:bidi="ar"/>
              </w:rPr>
              <w:t>限</w:t>
            </w:r>
            <w:r>
              <w:rPr>
                <w:rFonts w:ascii="BatangChe" w:hAnsi="BatangChe" w:cs="宋体" w:hint="eastAsia"/>
                <w:kern w:val="0"/>
                <w:szCs w:val="21"/>
                <w:lang w:bidi="ar"/>
              </w:rPr>
              <w:t>18</w:t>
            </w:r>
            <w:r>
              <w:rPr>
                <w:rFonts w:ascii="BatangChe" w:hAnsi="BatangChe" w:cs="宋体" w:hint="eastAsia"/>
                <w:kern w:val="0"/>
                <w:szCs w:val="21"/>
                <w:lang w:bidi="ar"/>
              </w:rPr>
              <w:t>周岁以下学生儿童。</w:t>
            </w:r>
          </w:p>
        </w:tc>
      </w:tr>
      <w:tr w:rsidR="00D01BB0" w:rsidTr="00EF5B65">
        <w:trPr>
          <w:trHeight w:val="728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36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糖尿病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合并感染或有心、肾、眼、神经等并发症之一。</w:t>
            </w: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冠状动脉硬化性心脏病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24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慢性肺源性心脏病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25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风湿性心脏病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甲状腺功能亢进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甲状腺功能减退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慢性活动性肝炎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类风湿性关节炎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精神疾病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帕金森氏病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强直性脊柱炎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阿尔茨海默病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视神经萎缩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血小板减少性紫癜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0"/>
                <w:szCs w:val="20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sz w:val="24"/>
              </w:rPr>
              <w:t>36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原发性高血压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22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Cs w:val="21"/>
                <w:lang w:bidi="ar"/>
              </w:rPr>
              <w:t>Ⅱ级以上</w:t>
            </w: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慢性阻塞性肺疾病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4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中重度氟骨症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0"/>
                <w:szCs w:val="20"/>
              </w:rPr>
            </w:pPr>
          </w:p>
        </w:tc>
      </w:tr>
      <w:tr w:rsidR="00D01BB0" w:rsidTr="00EF5B65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大骨节病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4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B0" w:rsidRDefault="00D01BB0" w:rsidP="00EF5B65">
            <w:pPr>
              <w:widowControl/>
              <w:spacing w:line="480" w:lineRule="exact"/>
              <w:rPr>
                <w:rFonts w:ascii="BatangChe" w:hAnsi="BatangChe" w:cs="宋体" w:hint="eastAsia"/>
                <w:color w:val="000000"/>
                <w:sz w:val="20"/>
                <w:szCs w:val="20"/>
              </w:rPr>
            </w:pPr>
          </w:p>
        </w:tc>
      </w:tr>
    </w:tbl>
    <w:p w:rsidR="004D1C0C" w:rsidRDefault="004D1C0C">
      <w:bookmarkStart w:id="0" w:name="_GoBack"/>
      <w:bookmarkEnd w:id="0"/>
    </w:p>
    <w:sectPr w:rsidR="004D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B0"/>
    <w:rsid w:val="004D1C0C"/>
    <w:rsid w:val="00D0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2021-12-10T06:13:00Z</dcterms:created>
  <dcterms:modified xsi:type="dcterms:W3CDTF">2021-12-10T06:13:00Z</dcterms:modified>
</cp:coreProperties>
</file>